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952" w:rsidRPr="00B42A56" w:rsidRDefault="009B0952" w:rsidP="009B0952">
      <w:pPr>
        <w:spacing w:before="100" w:beforeAutospacing="1" w:after="225" w:line="240" w:lineRule="auto"/>
        <w:jc w:val="center"/>
        <w:outlineLvl w:val="3"/>
        <w:rPr>
          <w:rFonts w:ascii="Oswald" w:eastAsia="Times New Roman" w:hAnsi="Oswald" w:cs="Arial"/>
          <w:b/>
          <w:caps/>
          <w:szCs w:val="30"/>
          <w:lang w:val="en-US" w:eastAsia="en-GB"/>
        </w:rPr>
      </w:pPr>
      <w:r w:rsidRPr="00B42A56">
        <w:rPr>
          <w:rFonts w:ascii="Oswald" w:eastAsia="Times New Roman" w:hAnsi="Oswald" w:cs="Arial"/>
          <w:b/>
          <w:caps/>
          <w:szCs w:val="30"/>
          <w:lang w:val="en-US" w:eastAsia="en-GB"/>
        </w:rPr>
        <w:t xml:space="preserve">Newnham Croft Primary School                 </w:t>
      </w:r>
    </w:p>
    <w:p w:rsidR="009B0952" w:rsidRPr="009B0952" w:rsidRDefault="009B0952" w:rsidP="009B0952">
      <w:pPr>
        <w:spacing w:before="100" w:beforeAutospacing="1" w:after="225" w:line="240" w:lineRule="auto"/>
        <w:jc w:val="center"/>
        <w:outlineLvl w:val="3"/>
        <w:rPr>
          <w:rFonts w:ascii="Oswald" w:eastAsia="Times New Roman" w:hAnsi="Oswald" w:cs="Arial"/>
          <w:b/>
          <w:szCs w:val="30"/>
          <w:lang w:val="en-US" w:eastAsia="en-GB"/>
        </w:rPr>
      </w:pPr>
      <w:r w:rsidRPr="009B0952">
        <w:rPr>
          <w:rFonts w:ascii="Oswald" w:eastAsia="Times New Roman" w:hAnsi="Oswald" w:cs="Arial"/>
          <w:b/>
          <w:szCs w:val="30"/>
          <w:lang w:val="en-US" w:eastAsia="en-GB"/>
        </w:rPr>
        <w:t xml:space="preserve">FREEDOM OF INFORMATION </w:t>
      </w:r>
      <w:r w:rsidRPr="00B42A56">
        <w:rPr>
          <w:rFonts w:ascii="Oswald" w:eastAsia="Times New Roman" w:hAnsi="Oswald" w:cs="Arial"/>
          <w:b/>
          <w:szCs w:val="30"/>
          <w:lang w:val="en-US" w:eastAsia="en-GB"/>
        </w:rPr>
        <w:t>STATEMENT</w:t>
      </w:r>
      <w:r w:rsidRPr="009B0952">
        <w:rPr>
          <w:rFonts w:ascii="Oswald" w:eastAsia="Times New Roman" w:hAnsi="Oswald" w:cs="Arial"/>
          <w:b/>
          <w:szCs w:val="30"/>
          <w:lang w:val="en-US" w:eastAsia="en-GB"/>
        </w:rPr>
        <w:t xml:space="preserve"> AND PROCEDURES</w:t>
      </w:r>
    </w:p>
    <w:p w:rsidR="009B0952" w:rsidRPr="009B0952" w:rsidRDefault="009B0952" w:rsidP="009B0952">
      <w:pPr>
        <w:spacing w:before="100" w:beforeAutospacing="1" w:after="300" w:line="240" w:lineRule="auto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Newnham </w:t>
      </w:r>
      <w:proofErr w:type="gramStart"/>
      <w:r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Croft 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 Primary</w:t>
      </w:r>
      <w:proofErr w:type="gramEnd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 School is committed to openness and transparency in the provision of information to all persons or </w:t>
      </w:r>
      <w:proofErr w:type="spellStart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organisations</w:t>
      </w:r>
      <w:proofErr w:type="spellEnd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 who request it.</w:t>
      </w:r>
      <w:r w:rsidR="00B42A56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  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We will provide information promptly, subject to the following conditions, which are based on our duties under the Freedom of Information Act 2000:</w:t>
      </w:r>
    </w:p>
    <w:p w:rsidR="009B0952" w:rsidRPr="009B0952" w:rsidRDefault="009B0952" w:rsidP="009B0952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Copies of reference documents, such as policy statements and procedural guidance will be provided free of charge or </w:t>
      </w:r>
      <w:r w:rsidR="001A1D0E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as published </w:t>
      </w:r>
      <w:r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on our school website.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 </w:t>
      </w:r>
    </w:p>
    <w:p w:rsidR="009B0952" w:rsidRPr="009B0952" w:rsidRDefault="009B0952" w:rsidP="009B0952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We will normally confirm within 5 working* days whether or not we hold the information you request and, if we do, we will provide it within 20 working* days. </w:t>
      </w:r>
      <w:r w:rsidRPr="009B0952">
        <w:rPr>
          <w:rFonts w:ascii="Open Sans" w:eastAsia="Times New Roman" w:hAnsi="Open Sans" w:cs="Arial"/>
          <w:b/>
          <w:bCs/>
          <w:color w:val="505050"/>
          <w:sz w:val="20"/>
          <w:szCs w:val="20"/>
          <w:lang w:val="en-US" w:eastAsia="en-GB"/>
        </w:rPr>
        <w:t>*Please note: Working days refers to term time only as contained in Statutory Instrument 3364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.</w:t>
      </w:r>
    </w:p>
    <w:p w:rsidR="009B0952" w:rsidRPr="009B0952" w:rsidRDefault="009B0952" w:rsidP="009B0952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Your request must be in writing (letter, email or fax) to ensure that we have a clear statement of what is requested.</w:t>
      </w:r>
    </w:p>
    <w:p w:rsidR="009B0952" w:rsidRPr="009B0952" w:rsidRDefault="009B0952" w:rsidP="009B0952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In some circumstances we may withhold the information you have requested under one of the exemptions applicable under the legislation.</w:t>
      </w:r>
    </w:p>
    <w:p w:rsidR="009B0952" w:rsidRPr="009B0952" w:rsidRDefault="009B0952" w:rsidP="009B0952">
      <w:pPr>
        <w:numPr>
          <w:ilvl w:val="0"/>
          <w:numId w:val="5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If you do not accept our reasons for declining to disclose the information requested </w:t>
      </w:r>
      <w:r w:rsidR="001A1D0E" w:rsidRPr="001A1D0E">
        <w:rPr>
          <w:rFonts w:ascii="Open Sans" w:eastAsia="Times New Roman" w:hAnsi="Open Sans" w:cs="Arial"/>
          <w:color w:val="505050"/>
          <w:sz w:val="20"/>
          <w:szCs w:val="20"/>
          <w:lang w:eastAsia="en-GB"/>
        </w:rPr>
        <w:t>you may wish to appeal the outcome by writing to the Chair of Governors</w:t>
      </w:r>
      <w:bookmarkStart w:id="0" w:name="_GoBack"/>
      <w:bookmarkEnd w:id="0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. If you are not happy with their response, you may wish to contact the Information Commissioner at:</w:t>
      </w:r>
      <w:r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 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The Information Commissioners Office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br/>
        <w:t>Wycliffe House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br/>
        <w:t>Water Lane</w:t>
      </w:r>
      <w:r w:rsidR="00B42A56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, </w:t>
      </w:r>
      <w:proofErr w:type="spellStart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Wilmslow</w:t>
      </w:r>
      <w:proofErr w:type="spellEnd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br/>
        <w:t>Cheshire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br/>
        <w:t>SK9 5AFTelephone 01625 545700 – Helpline is open from 9am to 5pm, Monday to Friday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br/>
        <w:t xml:space="preserve">Email  </w:t>
      </w:r>
      <w:hyperlink r:id="rId5" w:history="1">
        <w:r w:rsidRPr="009B0952">
          <w:rPr>
            <w:rFonts w:ascii="Open Sans" w:eastAsia="Times New Roman" w:hAnsi="Open Sans" w:cs="Arial"/>
            <w:color w:val="0569FF"/>
            <w:sz w:val="20"/>
            <w:szCs w:val="20"/>
            <w:lang w:val="en-US" w:eastAsia="en-GB"/>
          </w:rPr>
          <w:t>mail@ico.gsi.gov.uk</w:t>
        </w:r>
      </w:hyperlink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*protected email*</w:t>
      </w:r>
    </w:p>
    <w:p w:rsidR="009B0952" w:rsidRPr="009B0952" w:rsidRDefault="009B0952" w:rsidP="009B0952">
      <w:pPr>
        <w:numPr>
          <w:ilvl w:val="0"/>
          <w:numId w:val="5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Whilst we will provide most information free of charge, we may charge a fee for photocopying/printing/faxing/postage of longer documents where the required information is not listed in our Publications Scheme as being available either free of charge or at a stated charge. If you ask for information in an expensive alternative format, we may charge for this, subject to legislation, such as the Disabilities Discrimination Act. (See ‘</w:t>
      </w:r>
      <w:r w:rsidRPr="009B0952">
        <w:rPr>
          <w:rFonts w:ascii="Open Sans" w:eastAsia="Times New Roman" w:hAnsi="Open Sans" w:cs="Arial"/>
          <w:b/>
          <w:bCs/>
          <w:color w:val="505050"/>
          <w:sz w:val="20"/>
          <w:szCs w:val="20"/>
          <w:lang w:val="en-US" w:eastAsia="en-GB"/>
        </w:rPr>
        <w:t>Charges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’ below).</w:t>
      </w:r>
    </w:p>
    <w:p w:rsidR="009B0952" w:rsidRPr="009B0952" w:rsidRDefault="009B0952" w:rsidP="009B0952">
      <w:pPr>
        <w:numPr>
          <w:ilvl w:val="0"/>
          <w:numId w:val="6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If we intend to charge for the provision of information, we will tell you in advance what the charge will be (through a fees notice) and will provide the information when we receive payment (cash or </w:t>
      </w:r>
      <w:proofErr w:type="spellStart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cheque</w:t>
      </w:r>
      <w:proofErr w:type="spellEnd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). The time allowed for us to provide the information (20 working* days) does not include the period between the issuing of the fees notice and the receipt of the payment.</w:t>
      </w:r>
    </w:p>
    <w:p w:rsidR="009B0952" w:rsidRPr="009B0952" w:rsidRDefault="009B0952" w:rsidP="009B0952">
      <w:pPr>
        <w:numPr>
          <w:ilvl w:val="0"/>
          <w:numId w:val="7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We may be unable to provide the information you request for any for the following reasons: </w:t>
      </w:r>
    </w:p>
    <w:p w:rsidR="009B0952" w:rsidRPr="009B0952" w:rsidRDefault="009B0952" w:rsidP="009B0952">
      <w:pPr>
        <w:numPr>
          <w:ilvl w:val="1"/>
          <w:numId w:val="7"/>
        </w:numPr>
        <w:spacing w:before="100" w:beforeAutospacing="1" w:after="100" w:afterAutospacing="1" w:line="240" w:lineRule="auto"/>
        <w:ind w:left="6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We do not hold the information</w:t>
      </w:r>
    </w:p>
    <w:p w:rsidR="009B0952" w:rsidRPr="009B0952" w:rsidRDefault="009B0952" w:rsidP="009B0952">
      <w:pPr>
        <w:numPr>
          <w:ilvl w:val="1"/>
          <w:numId w:val="7"/>
        </w:numPr>
        <w:spacing w:before="100" w:beforeAutospacing="1" w:after="100" w:afterAutospacing="1" w:line="240" w:lineRule="auto"/>
        <w:ind w:left="6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We are applying an exemption to the disclosure</w:t>
      </w:r>
    </w:p>
    <w:p w:rsidR="009B0952" w:rsidRPr="009B0952" w:rsidRDefault="009B0952" w:rsidP="009B0952">
      <w:pPr>
        <w:numPr>
          <w:ilvl w:val="1"/>
          <w:numId w:val="7"/>
        </w:numPr>
        <w:spacing w:before="100" w:beforeAutospacing="1" w:after="100" w:afterAutospacing="1" w:line="240" w:lineRule="auto"/>
        <w:ind w:left="6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It would cost the School more than £450.00 to provide the information (this figure is set by Government and is based on the work exceeding 18.5 man hours to gather the information).</w:t>
      </w:r>
    </w:p>
    <w:p w:rsidR="009B0952" w:rsidRPr="009B0952" w:rsidRDefault="009B0952" w:rsidP="009B0952">
      <w:pPr>
        <w:numPr>
          <w:ilvl w:val="0"/>
          <w:numId w:val="8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If we are unable to provide the information we will do all we can to advise you as to how you might obtain the information elsewhere or in a different way to keep the cost down.</w:t>
      </w:r>
    </w:p>
    <w:p w:rsidR="009B0952" w:rsidRPr="009B0952" w:rsidRDefault="009B0952" w:rsidP="009B0952">
      <w:pPr>
        <w:numPr>
          <w:ilvl w:val="0"/>
          <w:numId w:val="9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The School will seek advice from the Local Authority’s Information Governance Manager as necessary to clarify any points or to help resolve any disputes over information requests.</w:t>
      </w:r>
    </w:p>
    <w:p w:rsidR="009B0952" w:rsidRPr="009B0952" w:rsidRDefault="009B0952" w:rsidP="009B0952">
      <w:pPr>
        <w:spacing w:before="100" w:beforeAutospacing="1" w:after="300" w:line="240" w:lineRule="auto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b/>
          <w:bCs/>
          <w:color w:val="505050"/>
          <w:sz w:val="20"/>
          <w:szCs w:val="20"/>
          <w:lang w:val="en-US" w:eastAsia="en-GB"/>
        </w:rPr>
        <w:t>CHARGES</w:t>
      </w:r>
      <w:r w:rsidR="00B42A56">
        <w:rPr>
          <w:rFonts w:ascii="Open Sans" w:eastAsia="Times New Roman" w:hAnsi="Open Sans" w:cs="Arial"/>
          <w:b/>
          <w:bCs/>
          <w:color w:val="505050"/>
          <w:sz w:val="20"/>
          <w:szCs w:val="20"/>
          <w:lang w:val="en-US" w:eastAsia="en-GB"/>
        </w:rPr>
        <w:t xml:space="preserve">: 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The general charge for photocopying, printing and faxing or emailing information as an attachment is </w:t>
      </w:r>
      <w:r w:rsidRPr="009B0952">
        <w:rPr>
          <w:rFonts w:ascii="Open Sans" w:eastAsia="Times New Roman" w:hAnsi="Open Sans" w:cs="Arial"/>
          <w:i/>
          <w:iCs/>
          <w:color w:val="505050"/>
          <w:sz w:val="20"/>
          <w:szCs w:val="20"/>
          <w:lang w:val="en-US" w:eastAsia="en-GB"/>
        </w:rPr>
        <w:t>10p 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per sheet. Postage charges will be at the appropriate rate. For more substantial items, the fee charged depends on whether we estimate that it would cost more or less than £450.00 to provide the information.</w:t>
      </w:r>
      <w:r w:rsidR="00B42A56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  </w:t>
      </w: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In the vast majority of cases the cost will be under £450.00 and we will then charge only for photocopying, printing, faxing and postage. We may also charge for any work required </w:t>
      </w:r>
      <w:proofErr w:type="gramStart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to</w:t>
      </w:r>
      <w:proofErr w:type="gramEnd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 put the information into the required format, which could involve, for example:</w:t>
      </w:r>
    </w:p>
    <w:p w:rsidR="009B0952" w:rsidRPr="009B0952" w:rsidRDefault="009B0952" w:rsidP="009B0952">
      <w:pPr>
        <w:numPr>
          <w:ilvl w:val="0"/>
          <w:numId w:val="10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proofErr w:type="spellStart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summarising</w:t>
      </w:r>
      <w:proofErr w:type="spellEnd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 the information;</w:t>
      </w:r>
    </w:p>
    <w:p w:rsidR="009B0952" w:rsidRPr="009B0952" w:rsidRDefault="009B0952" w:rsidP="009B0952">
      <w:pPr>
        <w:numPr>
          <w:ilvl w:val="0"/>
          <w:numId w:val="10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putting the information onto CD, video or audio cassette;</w:t>
      </w:r>
    </w:p>
    <w:p w:rsidR="009B0952" w:rsidRPr="009B0952" w:rsidRDefault="009B0952" w:rsidP="009B0952">
      <w:pPr>
        <w:numPr>
          <w:ilvl w:val="0"/>
          <w:numId w:val="10"/>
        </w:numPr>
        <w:spacing w:before="100" w:beforeAutospacing="1" w:after="100" w:afterAutospacing="1" w:line="240" w:lineRule="auto"/>
        <w:ind w:left="300"/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</w:pPr>
      <w:proofErr w:type="gramStart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translating</w:t>
      </w:r>
      <w:proofErr w:type="gramEnd"/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 xml:space="preserve"> the information into a different language.</w:t>
      </w:r>
    </w:p>
    <w:p w:rsidR="00E108C7" w:rsidRDefault="009B0952" w:rsidP="00B42A56">
      <w:pPr>
        <w:spacing w:before="100" w:beforeAutospacing="1" w:after="300" w:line="240" w:lineRule="auto"/>
      </w:pPr>
      <w:r w:rsidRPr="009B0952">
        <w:rPr>
          <w:rFonts w:ascii="Open Sans" w:eastAsia="Times New Roman" w:hAnsi="Open Sans" w:cs="Arial"/>
          <w:color w:val="505050"/>
          <w:sz w:val="20"/>
          <w:szCs w:val="20"/>
          <w:lang w:val="en-US" w:eastAsia="en-GB"/>
        </w:rPr>
        <w:t>We will not normally charge for providing information in an alternative format where this is requested on grounds of disability.</w:t>
      </w:r>
    </w:p>
    <w:sectPr w:rsidR="00E108C7" w:rsidSect="009B0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262"/>
    <w:multiLevelType w:val="multilevel"/>
    <w:tmpl w:val="4E88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23FE2"/>
    <w:multiLevelType w:val="multilevel"/>
    <w:tmpl w:val="F59A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C6552B"/>
    <w:multiLevelType w:val="multilevel"/>
    <w:tmpl w:val="2612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E459B1"/>
    <w:multiLevelType w:val="multilevel"/>
    <w:tmpl w:val="6D0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1C0B11"/>
    <w:multiLevelType w:val="multilevel"/>
    <w:tmpl w:val="5564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AF786E"/>
    <w:multiLevelType w:val="multilevel"/>
    <w:tmpl w:val="E638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7D4DF1"/>
    <w:multiLevelType w:val="multilevel"/>
    <w:tmpl w:val="C976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7F0D05"/>
    <w:multiLevelType w:val="multilevel"/>
    <w:tmpl w:val="3704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2E773C"/>
    <w:multiLevelType w:val="multilevel"/>
    <w:tmpl w:val="F6DC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183D15"/>
    <w:multiLevelType w:val="multilevel"/>
    <w:tmpl w:val="3BF2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52"/>
    <w:rsid w:val="001A1D0E"/>
    <w:rsid w:val="009B0952"/>
    <w:rsid w:val="00A57749"/>
    <w:rsid w:val="00B42A56"/>
    <w:rsid w:val="00BD17D2"/>
    <w:rsid w:val="00EE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428B4-0782-4412-B8C8-1AEBA931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7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5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7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79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42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70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ico.gsi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3F1070B6</Template>
  <TotalTime>5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Newnham Croft Primary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 Sharon</dc:creator>
  <cp:lastModifiedBy>Matthews Andy</cp:lastModifiedBy>
  <cp:revision>4</cp:revision>
  <dcterms:created xsi:type="dcterms:W3CDTF">2016-11-14T12:53:00Z</dcterms:created>
  <dcterms:modified xsi:type="dcterms:W3CDTF">2021-02-09T16:34:00Z</dcterms:modified>
</cp:coreProperties>
</file>